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92" w:rsidRPr="00537892" w:rsidRDefault="00537892" w:rsidP="00537892">
      <w:pPr>
        <w:jc w:val="center"/>
        <w:rPr>
          <w:b/>
          <w:color w:val="000000"/>
        </w:rPr>
      </w:pPr>
      <w:r w:rsidRPr="00537892">
        <w:rPr>
          <w:b/>
          <w:color w:val="000000"/>
        </w:rPr>
        <w:t>Appendix 1 – Satisfaction Measured</w:t>
      </w:r>
      <w:r>
        <w:rPr>
          <w:b/>
          <w:color w:val="000000"/>
        </w:rPr>
        <w:t xml:space="preserve"> in Service Areas</w:t>
      </w:r>
    </w:p>
    <w:p w:rsidR="008A22C6" w:rsidRDefault="008A22C6" w:rsidP="00537892"/>
    <w:p w:rsidR="009663CC" w:rsidRDefault="009663CC" w:rsidP="00537892">
      <w:r>
        <w:t xml:space="preserve">Teams across the Council provide services to Council tenants as part of the overall Landlord function. There are some services provided to all residents, not just </w:t>
      </w:r>
      <w:proofErr w:type="gramStart"/>
      <w:r>
        <w:t>to</w:t>
      </w:r>
      <w:proofErr w:type="gramEnd"/>
      <w:r>
        <w:t xml:space="preserve"> Council tenants, but these services also influence perceptions and overall satisfaction. </w:t>
      </w:r>
    </w:p>
    <w:p w:rsidR="009663CC" w:rsidRDefault="009663CC" w:rsidP="00537892"/>
    <w:p w:rsidR="00537892" w:rsidRDefault="009663CC" w:rsidP="00537892">
      <w:r>
        <w:t>Many teams collect information about tenant satisfaction in their area and have been working with tenants to improve satisfaction and provide a better customer experience.</w:t>
      </w:r>
    </w:p>
    <w:p w:rsidR="009663CC" w:rsidRDefault="009663CC" w:rsidP="00537892"/>
    <w:p w:rsidR="009663CC" w:rsidRDefault="009663CC" w:rsidP="00537892">
      <w:pPr>
        <w:rPr>
          <w:b/>
        </w:rPr>
      </w:pPr>
      <w:r>
        <w:rPr>
          <w:b/>
        </w:rPr>
        <w:t>Direct Services</w:t>
      </w:r>
    </w:p>
    <w:p w:rsidR="009663CC" w:rsidRPr="0077739B" w:rsidRDefault="009663CC" w:rsidP="009663CC">
      <w:pPr>
        <w:rPr>
          <w:b/>
        </w:rPr>
      </w:pPr>
    </w:p>
    <w:p w:rsidR="009663CC" w:rsidRDefault="009663CC" w:rsidP="009663CC">
      <w:r>
        <w:t>Direct Services provides a number of services for Council tenants and has gained ISO9001 Quality Management System and Customer Services Excellence accreditations.</w:t>
      </w:r>
    </w:p>
    <w:p w:rsidR="009663CC" w:rsidRDefault="009663CC" w:rsidP="009663CC"/>
    <w:p w:rsidR="009663CC" w:rsidRPr="009663CC" w:rsidRDefault="009663CC" w:rsidP="009663CC">
      <w:pPr>
        <w:rPr>
          <w:i/>
        </w:rPr>
      </w:pPr>
      <w:r w:rsidRPr="009663CC">
        <w:rPr>
          <w:i/>
        </w:rPr>
        <w:t>Waste Collection</w:t>
      </w:r>
    </w:p>
    <w:p w:rsidR="009663CC" w:rsidRDefault="009663CC" w:rsidP="009663CC"/>
    <w:p w:rsidR="009663CC" w:rsidRDefault="009663CC" w:rsidP="009663CC">
      <w:r>
        <w:t xml:space="preserve">The latest Local Government Inform Survey results show a satisfaction result of 89.52%, against an average of 76.67% (APSE 2014/15 data). This is upper quartile performance. </w:t>
      </w:r>
    </w:p>
    <w:p w:rsidR="009663CC" w:rsidRDefault="009663CC" w:rsidP="009663CC"/>
    <w:p w:rsidR="009663CC" w:rsidRPr="009663CC" w:rsidRDefault="009663CC" w:rsidP="009663CC">
      <w:pPr>
        <w:rPr>
          <w:i/>
        </w:rPr>
      </w:pPr>
      <w:r w:rsidRPr="009663CC">
        <w:rPr>
          <w:i/>
        </w:rPr>
        <w:t xml:space="preserve">Street Cleansing </w:t>
      </w:r>
    </w:p>
    <w:p w:rsidR="009663CC" w:rsidRPr="0077739B" w:rsidRDefault="009663CC" w:rsidP="009663CC">
      <w:pPr>
        <w:rPr>
          <w:b/>
        </w:rPr>
      </w:pPr>
    </w:p>
    <w:p w:rsidR="009663CC" w:rsidRDefault="009663CC" w:rsidP="009663CC">
      <w:r>
        <w:t>The latest Local Government Inform Survey results show a satisfaction result of 78.78%, against an average of 69.25% (APSE 2014/15 data). This is upper quartile performance.</w:t>
      </w:r>
    </w:p>
    <w:p w:rsidR="009663CC" w:rsidRDefault="009663CC" w:rsidP="009663CC">
      <w:pPr>
        <w:pStyle w:val="ListParagraph"/>
      </w:pPr>
    </w:p>
    <w:p w:rsidR="009663CC" w:rsidRPr="00511340" w:rsidRDefault="00511340" w:rsidP="009663CC">
      <w:pPr>
        <w:rPr>
          <w:i/>
        </w:rPr>
      </w:pPr>
      <w:r w:rsidRPr="00511340">
        <w:rPr>
          <w:i/>
        </w:rPr>
        <w:t xml:space="preserve">Day to Day </w:t>
      </w:r>
      <w:r w:rsidR="009663CC" w:rsidRPr="00511340">
        <w:rPr>
          <w:i/>
        </w:rPr>
        <w:t>Repairs Service</w:t>
      </w:r>
    </w:p>
    <w:p w:rsidR="009663CC" w:rsidRDefault="009663CC" w:rsidP="009663CC"/>
    <w:p w:rsidR="009663CC" w:rsidRDefault="009663CC" w:rsidP="009663CC">
      <w:r>
        <w:t xml:space="preserve">Satisfaction with the Repairs Service is collected monthly via repairs satisfaction forms that are sent to tenants who have had a repair. </w:t>
      </w:r>
    </w:p>
    <w:p w:rsidR="009663CC" w:rsidRDefault="009663CC" w:rsidP="009663CC"/>
    <w:p w:rsidR="009663CC" w:rsidRDefault="009663CC" w:rsidP="009663CC">
      <w:r>
        <w:t xml:space="preserve">The target is 95% satisfaction. </w:t>
      </w:r>
    </w:p>
    <w:p w:rsidR="009663CC" w:rsidRDefault="009663CC" w:rsidP="009663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2385"/>
        <w:gridCol w:w="2386"/>
        <w:gridCol w:w="2386"/>
      </w:tblGrid>
      <w:tr w:rsidR="00511340" w:rsidTr="00511340">
        <w:tc>
          <w:tcPr>
            <w:tcW w:w="2085" w:type="dxa"/>
          </w:tcPr>
          <w:p w:rsidR="00511340" w:rsidRDefault="00511340" w:rsidP="009663CC">
            <w:r>
              <w:t>Year</w:t>
            </w:r>
          </w:p>
        </w:tc>
        <w:tc>
          <w:tcPr>
            <w:tcW w:w="2385" w:type="dxa"/>
            <w:vAlign w:val="center"/>
          </w:tcPr>
          <w:p w:rsidR="00511340" w:rsidRDefault="00511340" w:rsidP="00511340">
            <w:pPr>
              <w:jc w:val="center"/>
            </w:pPr>
            <w:r>
              <w:t>2013/14</w:t>
            </w:r>
          </w:p>
        </w:tc>
        <w:tc>
          <w:tcPr>
            <w:tcW w:w="2386" w:type="dxa"/>
            <w:vAlign w:val="center"/>
          </w:tcPr>
          <w:p w:rsidR="00511340" w:rsidRDefault="00511340" w:rsidP="00511340">
            <w:pPr>
              <w:jc w:val="center"/>
            </w:pPr>
            <w:r>
              <w:t>2014/15</w:t>
            </w:r>
          </w:p>
        </w:tc>
        <w:tc>
          <w:tcPr>
            <w:tcW w:w="2386" w:type="dxa"/>
            <w:vAlign w:val="center"/>
          </w:tcPr>
          <w:p w:rsidR="00511340" w:rsidRDefault="00511340" w:rsidP="00511340">
            <w:pPr>
              <w:jc w:val="center"/>
            </w:pPr>
            <w:r>
              <w:t>2015/16</w:t>
            </w:r>
          </w:p>
        </w:tc>
      </w:tr>
      <w:tr w:rsidR="00511340" w:rsidTr="00511340">
        <w:tc>
          <w:tcPr>
            <w:tcW w:w="2085" w:type="dxa"/>
          </w:tcPr>
          <w:p w:rsidR="00511340" w:rsidRDefault="00511340" w:rsidP="009663CC">
            <w:r>
              <w:t>Satisfaction</w:t>
            </w:r>
          </w:p>
        </w:tc>
        <w:tc>
          <w:tcPr>
            <w:tcW w:w="2385" w:type="dxa"/>
            <w:vAlign w:val="center"/>
          </w:tcPr>
          <w:p w:rsidR="00511340" w:rsidRDefault="00511340" w:rsidP="00511340">
            <w:pPr>
              <w:jc w:val="center"/>
            </w:pPr>
            <w:r>
              <w:t>95.50%</w:t>
            </w:r>
          </w:p>
        </w:tc>
        <w:tc>
          <w:tcPr>
            <w:tcW w:w="2386" w:type="dxa"/>
            <w:vAlign w:val="center"/>
          </w:tcPr>
          <w:p w:rsidR="00511340" w:rsidRDefault="00511340" w:rsidP="00511340">
            <w:pPr>
              <w:jc w:val="center"/>
            </w:pPr>
            <w:r>
              <w:t>94.22%</w:t>
            </w:r>
          </w:p>
        </w:tc>
        <w:tc>
          <w:tcPr>
            <w:tcW w:w="2386" w:type="dxa"/>
            <w:vAlign w:val="center"/>
          </w:tcPr>
          <w:p w:rsidR="00511340" w:rsidRDefault="00511340" w:rsidP="00511340">
            <w:pPr>
              <w:jc w:val="center"/>
            </w:pPr>
            <w:r>
              <w:t>94.08%</w:t>
            </w:r>
          </w:p>
        </w:tc>
      </w:tr>
    </w:tbl>
    <w:p w:rsidR="00511340" w:rsidRDefault="00511340" w:rsidP="009663CC"/>
    <w:p w:rsidR="009663CC" w:rsidRDefault="009663CC" w:rsidP="009663CC">
      <w:pPr>
        <w:pStyle w:val="ListParagraph"/>
      </w:pPr>
    </w:p>
    <w:p w:rsidR="009663CC" w:rsidRDefault="00F20EBE" w:rsidP="009663CC">
      <w:pPr>
        <w:rPr>
          <w:b/>
        </w:rPr>
      </w:pPr>
      <w:r>
        <w:t xml:space="preserve">Direct Services report that the drop in satisfaction in 2014/15 and 2015/16 was in part due to </w:t>
      </w:r>
      <w:r w:rsidR="009663CC">
        <w:t xml:space="preserve">a backlog of work that occurred following the extreme weather early in </w:t>
      </w:r>
      <w:r>
        <w:t xml:space="preserve">2014. This </w:t>
      </w:r>
      <w:r w:rsidR="00511340">
        <w:t>caused a</w:t>
      </w:r>
      <w:r w:rsidR="009663CC">
        <w:t xml:space="preserve"> high demand for fencing </w:t>
      </w:r>
      <w:r>
        <w:t>and other weather related repairs. The high winds in particular caused widespread fencing damage that led to a national timber shortage, meaning that fencing repairs took much longer than normal to complete</w:t>
      </w:r>
      <w:r w:rsidR="009663CC">
        <w:t>. Th</w:t>
      </w:r>
      <w:r>
        <w:t xml:space="preserve">e weather also led to an increase in </w:t>
      </w:r>
      <w:r w:rsidR="009663CC">
        <w:t xml:space="preserve">emergency repairs and </w:t>
      </w:r>
      <w:r>
        <w:t xml:space="preserve">additional </w:t>
      </w:r>
      <w:r w:rsidR="009663CC">
        <w:t>resources being targeted at homes damaged by the flooding.</w:t>
      </w:r>
      <w:r w:rsidR="00CB69F0">
        <w:t xml:space="preserve"> </w:t>
      </w:r>
    </w:p>
    <w:p w:rsidR="009663CC" w:rsidRDefault="009663CC" w:rsidP="009663CC">
      <w:pPr>
        <w:rPr>
          <w:b/>
        </w:rPr>
      </w:pPr>
    </w:p>
    <w:p w:rsidR="00F20EBE" w:rsidRDefault="00F20EBE" w:rsidP="009663CC">
      <w:pPr>
        <w:rPr>
          <w:b/>
        </w:rPr>
      </w:pPr>
    </w:p>
    <w:p w:rsidR="00F20EBE" w:rsidRDefault="00F20EBE" w:rsidP="009663CC">
      <w:pPr>
        <w:rPr>
          <w:b/>
        </w:rPr>
      </w:pPr>
    </w:p>
    <w:p w:rsidR="009663CC" w:rsidRPr="00CB69F0" w:rsidRDefault="00CB69F0" w:rsidP="009663CC">
      <w:pPr>
        <w:rPr>
          <w:i/>
        </w:rPr>
      </w:pPr>
      <w:r w:rsidRPr="00CB69F0">
        <w:rPr>
          <w:i/>
        </w:rPr>
        <w:lastRenderedPageBreak/>
        <w:t>Kitchen and Bathroom I</w:t>
      </w:r>
      <w:r w:rsidR="009663CC" w:rsidRPr="00CB69F0">
        <w:rPr>
          <w:i/>
        </w:rPr>
        <w:t>nstallations</w:t>
      </w:r>
    </w:p>
    <w:p w:rsidR="009663CC" w:rsidRDefault="009663CC" w:rsidP="009663CC"/>
    <w:p w:rsidR="009663CC" w:rsidRDefault="009663CC" w:rsidP="009663CC">
      <w:r>
        <w:t xml:space="preserve">Satisfaction with kitchens and bathrooms installed by the </w:t>
      </w:r>
      <w:r w:rsidR="00CB69F0">
        <w:t>P</w:t>
      </w:r>
      <w:r>
        <w:t xml:space="preserve">lanned Operations team is collected </w:t>
      </w:r>
      <w:r w:rsidR="00CB69F0">
        <w:t>through forms left with tenants who have had the work done.</w:t>
      </w:r>
    </w:p>
    <w:p w:rsidR="00CB69F0" w:rsidRDefault="00CB69F0" w:rsidP="009663CC"/>
    <w:p w:rsidR="009663CC" w:rsidRDefault="009663CC" w:rsidP="009663CC">
      <w:r>
        <w:t xml:space="preserve">The target is 95% satisfaction. </w:t>
      </w:r>
    </w:p>
    <w:p w:rsidR="009663CC" w:rsidRDefault="009663CC" w:rsidP="009663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2385"/>
        <w:gridCol w:w="2386"/>
        <w:gridCol w:w="2386"/>
      </w:tblGrid>
      <w:tr w:rsidR="00CB69F0" w:rsidTr="00A731FD">
        <w:tc>
          <w:tcPr>
            <w:tcW w:w="2085" w:type="dxa"/>
          </w:tcPr>
          <w:p w:rsidR="00CB69F0" w:rsidRDefault="00CB69F0" w:rsidP="00A731FD">
            <w:r>
              <w:t>Year</w:t>
            </w:r>
          </w:p>
        </w:tc>
        <w:tc>
          <w:tcPr>
            <w:tcW w:w="2385" w:type="dxa"/>
            <w:vAlign w:val="center"/>
          </w:tcPr>
          <w:p w:rsidR="00CB69F0" w:rsidRDefault="00CB69F0" w:rsidP="00A731FD">
            <w:pPr>
              <w:jc w:val="center"/>
            </w:pPr>
            <w:r>
              <w:t>2013/14</w:t>
            </w:r>
          </w:p>
        </w:tc>
        <w:tc>
          <w:tcPr>
            <w:tcW w:w="2386" w:type="dxa"/>
            <w:vAlign w:val="center"/>
          </w:tcPr>
          <w:p w:rsidR="00CB69F0" w:rsidRDefault="00CB69F0" w:rsidP="00A731FD">
            <w:pPr>
              <w:jc w:val="center"/>
            </w:pPr>
            <w:r>
              <w:t>2014/15</w:t>
            </w:r>
          </w:p>
        </w:tc>
        <w:tc>
          <w:tcPr>
            <w:tcW w:w="2386" w:type="dxa"/>
            <w:vAlign w:val="center"/>
          </w:tcPr>
          <w:p w:rsidR="00CB69F0" w:rsidRDefault="00CB69F0" w:rsidP="00A731FD">
            <w:pPr>
              <w:jc w:val="center"/>
            </w:pPr>
            <w:r>
              <w:t>2015/16</w:t>
            </w:r>
          </w:p>
        </w:tc>
      </w:tr>
      <w:tr w:rsidR="00CB69F0" w:rsidTr="00A731FD">
        <w:tc>
          <w:tcPr>
            <w:tcW w:w="2085" w:type="dxa"/>
          </w:tcPr>
          <w:p w:rsidR="00CB69F0" w:rsidRDefault="00CB69F0" w:rsidP="00A731FD">
            <w:r>
              <w:t>Satisfaction</w:t>
            </w:r>
          </w:p>
        </w:tc>
        <w:tc>
          <w:tcPr>
            <w:tcW w:w="2385" w:type="dxa"/>
            <w:vAlign w:val="center"/>
          </w:tcPr>
          <w:p w:rsidR="00CB69F0" w:rsidRDefault="00CB69F0" w:rsidP="00A731FD">
            <w:pPr>
              <w:jc w:val="center"/>
            </w:pPr>
            <w:r>
              <w:t>99.69%</w:t>
            </w:r>
          </w:p>
        </w:tc>
        <w:tc>
          <w:tcPr>
            <w:tcW w:w="2386" w:type="dxa"/>
            <w:vAlign w:val="center"/>
          </w:tcPr>
          <w:p w:rsidR="00CB69F0" w:rsidRDefault="00CB69F0" w:rsidP="00A731FD">
            <w:pPr>
              <w:jc w:val="center"/>
            </w:pPr>
            <w:r>
              <w:t>97.52%</w:t>
            </w:r>
          </w:p>
        </w:tc>
        <w:tc>
          <w:tcPr>
            <w:tcW w:w="2386" w:type="dxa"/>
            <w:vAlign w:val="center"/>
          </w:tcPr>
          <w:p w:rsidR="00CB69F0" w:rsidRDefault="00CB69F0" w:rsidP="00A731FD">
            <w:pPr>
              <w:jc w:val="center"/>
            </w:pPr>
            <w:r>
              <w:t>100.00%</w:t>
            </w:r>
          </w:p>
        </w:tc>
      </w:tr>
    </w:tbl>
    <w:p w:rsidR="00CB69F0" w:rsidRDefault="00CB69F0" w:rsidP="009663CC"/>
    <w:p w:rsidR="00CB69F0" w:rsidRDefault="00CB69F0" w:rsidP="009663CC"/>
    <w:p w:rsidR="009663CC" w:rsidRDefault="00A80C00" w:rsidP="00537892">
      <w:pPr>
        <w:rPr>
          <w:b/>
        </w:rPr>
      </w:pPr>
      <w:r>
        <w:rPr>
          <w:b/>
        </w:rPr>
        <w:t>Housing Needs</w:t>
      </w:r>
    </w:p>
    <w:p w:rsidR="00A80C00" w:rsidRPr="00A80C00" w:rsidRDefault="00A80C00" w:rsidP="00537892">
      <w:pPr>
        <w:rPr>
          <w:b/>
        </w:rPr>
      </w:pPr>
    </w:p>
    <w:p w:rsidR="00A80C00" w:rsidRDefault="00A80C00" w:rsidP="00A80C0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The Housing Needs team deals with applicants on the Council’s Housing Register. Each time a customer comes in to the offices, they are </w:t>
      </w:r>
      <w:r w:rsidRPr="00A80C00">
        <w:rPr>
          <w:rFonts w:ascii="Arial" w:hAnsi="Arial" w:cs="Arial"/>
        </w:rPr>
        <w:t xml:space="preserve">asked to complete a short customer satisfaction survey. In 2015/16, 428 people completed the satisfaction cards. The results have been good, with many customers also taking the opportunity to personally compliment the officer that dealt with them. 88% rated the overall experience as ‘Good’. </w:t>
      </w:r>
      <w:r>
        <w:rPr>
          <w:rFonts w:ascii="Arial" w:hAnsi="Arial" w:cs="Arial"/>
        </w:rPr>
        <w:t>These results include Housing Register applicants who are not Council tenants.</w:t>
      </w:r>
    </w:p>
    <w:p w:rsidR="00A80C00" w:rsidRDefault="00A80C00" w:rsidP="00A80C00">
      <w:pPr>
        <w:pStyle w:val="Default"/>
        <w:rPr>
          <w:rFonts w:ascii="Arial" w:hAnsi="Arial" w:cs="Arial"/>
        </w:rPr>
      </w:pPr>
    </w:p>
    <w:p w:rsidR="00A80C00" w:rsidRPr="00A80C00" w:rsidRDefault="00A80C00" w:rsidP="00A80C00">
      <w:pPr>
        <w:pStyle w:val="Defaul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0923847" wp14:editId="27E1BBDD">
            <wp:extent cx="6323556" cy="34194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143" t="35551" r="21465" b="18897"/>
                    <a:stretch/>
                  </pic:blipFill>
                  <pic:spPr bwMode="auto">
                    <a:xfrm>
                      <a:off x="0" y="0"/>
                      <a:ext cx="6331875" cy="3423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D98" w:rsidRDefault="00793D98">
      <w:pPr>
        <w:rPr>
          <w:color w:val="000000"/>
        </w:rPr>
      </w:pPr>
      <w:r>
        <w:br w:type="page"/>
      </w:r>
    </w:p>
    <w:p w:rsidR="00793D98" w:rsidRDefault="00793D98" w:rsidP="00A80C00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Tenancy Management</w:t>
      </w:r>
    </w:p>
    <w:p w:rsidR="00793D98" w:rsidRDefault="00793D98" w:rsidP="00A80C00">
      <w:pPr>
        <w:pStyle w:val="Default"/>
        <w:rPr>
          <w:rFonts w:ascii="Arial" w:hAnsi="Arial" w:cs="Arial"/>
          <w:b/>
        </w:rPr>
      </w:pPr>
    </w:p>
    <w:p w:rsidR="00793D98" w:rsidRDefault="00793D98" w:rsidP="00A80C0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The Tenancy Management team deals with matters such as transfers, exchanges, deaths, relationship breakdown, void properties and garages. </w:t>
      </w:r>
    </w:p>
    <w:p w:rsidR="00793D98" w:rsidRDefault="00793D98" w:rsidP="00A80C00">
      <w:pPr>
        <w:pStyle w:val="Default"/>
        <w:rPr>
          <w:rFonts w:ascii="Arial" w:hAnsi="Arial" w:cs="Arial"/>
        </w:rPr>
      </w:pPr>
    </w:p>
    <w:p w:rsidR="00793D98" w:rsidRDefault="00793D98" w:rsidP="00A80C0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Satisfaction data is gathered in two ways. Through the </w:t>
      </w:r>
      <w:proofErr w:type="spellStart"/>
      <w:r>
        <w:rPr>
          <w:rFonts w:ascii="Arial" w:hAnsi="Arial" w:cs="Arial"/>
        </w:rPr>
        <w:t>Gov</w:t>
      </w:r>
      <w:proofErr w:type="spellEnd"/>
      <w:r>
        <w:rPr>
          <w:rFonts w:ascii="Arial" w:hAnsi="Arial" w:cs="Arial"/>
        </w:rPr>
        <w:t>-Metric system, performance data on phone calls is gathered and measured, for those tenants who wish to give feedback.</w:t>
      </w:r>
    </w:p>
    <w:p w:rsidR="00793D98" w:rsidRDefault="00793D98" w:rsidP="00A80C00">
      <w:pPr>
        <w:pStyle w:val="Default"/>
        <w:rPr>
          <w:rFonts w:ascii="Arial" w:hAnsi="Arial" w:cs="Arial"/>
        </w:rPr>
      </w:pPr>
    </w:p>
    <w:p w:rsidR="00793D98" w:rsidRDefault="00793D98" w:rsidP="00A80C0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From the start of January 2016 to mid-June 2016, </w:t>
      </w:r>
      <w:proofErr w:type="spellStart"/>
      <w:r>
        <w:rPr>
          <w:rFonts w:ascii="Arial" w:hAnsi="Arial" w:cs="Arial"/>
        </w:rPr>
        <w:t>Gov</w:t>
      </w:r>
      <w:proofErr w:type="spellEnd"/>
      <w:r>
        <w:rPr>
          <w:rFonts w:ascii="Arial" w:hAnsi="Arial" w:cs="Arial"/>
        </w:rPr>
        <w:t>-Metric satisfaction data was:</w:t>
      </w:r>
    </w:p>
    <w:p w:rsidR="00793D98" w:rsidRDefault="00793D98" w:rsidP="00A80C00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1110"/>
        <w:gridCol w:w="723"/>
      </w:tblGrid>
      <w:tr w:rsidR="00793D98" w:rsidTr="00793D98">
        <w:tc>
          <w:tcPr>
            <w:tcW w:w="0" w:type="auto"/>
          </w:tcPr>
          <w:p w:rsidR="00793D98" w:rsidRDefault="00793D98" w:rsidP="00793D98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0" w:type="auto"/>
          </w:tcPr>
          <w:p w:rsidR="00793D98" w:rsidRDefault="00793D98" w:rsidP="00793D98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</w:t>
            </w:r>
          </w:p>
        </w:tc>
        <w:tc>
          <w:tcPr>
            <w:tcW w:w="0" w:type="auto"/>
          </w:tcPr>
          <w:p w:rsidR="00793D98" w:rsidRDefault="00793D98" w:rsidP="00793D98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</w:tr>
      <w:tr w:rsidR="00793D98" w:rsidTr="00793D98">
        <w:tc>
          <w:tcPr>
            <w:tcW w:w="0" w:type="auto"/>
          </w:tcPr>
          <w:p w:rsidR="00793D98" w:rsidRDefault="00793D98" w:rsidP="00793D98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94%</w:t>
            </w:r>
          </w:p>
        </w:tc>
        <w:tc>
          <w:tcPr>
            <w:tcW w:w="0" w:type="auto"/>
          </w:tcPr>
          <w:p w:rsidR="00793D98" w:rsidRDefault="00793D98" w:rsidP="00793D98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</w:t>
            </w:r>
          </w:p>
        </w:tc>
        <w:tc>
          <w:tcPr>
            <w:tcW w:w="0" w:type="auto"/>
          </w:tcPr>
          <w:p w:rsidR="00793D98" w:rsidRDefault="00793D98" w:rsidP="00793D98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</w:t>
            </w:r>
          </w:p>
        </w:tc>
      </w:tr>
    </w:tbl>
    <w:p w:rsidR="00793D98" w:rsidRDefault="00793D98" w:rsidP="00A80C00">
      <w:pPr>
        <w:pStyle w:val="Default"/>
        <w:rPr>
          <w:rFonts w:ascii="Arial" w:hAnsi="Arial" w:cs="Arial"/>
        </w:rPr>
      </w:pPr>
    </w:p>
    <w:p w:rsidR="00793D98" w:rsidRDefault="00793D98" w:rsidP="00A80C0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The Tenancy Management Team also </w:t>
      </w:r>
      <w:proofErr w:type="gramStart"/>
      <w:r>
        <w:rPr>
          <w:rFonts w:ascii="Arial" w:hAnsi="Arial" w:cs="Arial"/>
        </w:rPr>
        <w:t>seek</w:t>
      </w:r>
      <w:proofErr w:type="gramEnd"/>
      <w:r>
        <w:rPr>
          <w:rFonts w:ascii="Arial" w:hAnsi="Arial" w:cs="Arial"/>
        </w:rPr>
        <w:t xml:space="preserve"> feedback from tenants who have recently had a welcome visit or those who have recently completed a mutual exchange. In the 12 months up to June 2016, 47 </w:t>
      </w:r>
      <w:r w:rsidR="00070837">
        <w:rPr>
          <w:rFonts w:ascii="Arial" w:hAnsi="Arial" w:cs="Arial"/>
        </w:rPr>
        <w:t xml:space="preserve">feedback </w:t>
      </w:r>
      <w:r>
        <w:rPr>
          <w:rFonts w:ascii="Arial" w:hAnsi="Arial" w:cs="Arial"/>
        </w:rPr>
        <w:t>responses were received</w:t>
      </w:r>
      <w:r w:rsidR="00070837">
        <w:rPr>
          <w:rFonts w:ascii="Arial" w:hAnsi="Arial" w:cs="Arial"/>
        </w:rPr>
        <w:t>, all of which rated the service as “Good” or “Very Good”.</w:t>
      </w:r>
    </w:p>
    <w:p w:rsidR="00070837" w:rsidRDefault="00070837" w:rsidP="00A80C00">
      <w:pPr>
        <w:pStyle w:val="Default"/>
        <w:rPr>
          <w:rFonts w:ascii="Arial" w:hAnsi="Arial" w:cs="Arial"/>
        </w:rPr>
      </w:pPr>
    </w:p>
    <w:p w:rsidR="00070837" w:rsidRDefault="00A311FC" w:rsidP="00A80C00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Welfare Reform Team</w:t>
      </w:r>
    </w:p>
    <w:p w:rsidR="00A311FC" w:rsidRDefault="00A311FC" w:rsidP="00A80C00">
      <w:pPr>
        <w:pStyle w:val="Default"/>
        <w:rPr>
          <w:rFonts w:ascii="Arial" w:hAnsi="Arial" w:cs="Arial"/>
          <w:b/>
        </w:rPr>
      </w:pPr>
    </w:p>
    <w:p w:rsidR="00A311FC" w:rsidRDefault="00A311FC" w:rsidP="00A311FC">
      <w:r>
        <w:t>With every decision on a discretionary housi</w:t>
      </w:r>
      <w:r w:rsidR="00984E15">
        <w:t>ng payment (DHP), the Welfare R</w:t>
      </w:r>
      <w:bookmarkStart w:id="0" w:name="_GoBack"/>
      <w:bookmarkEnd w:id="0"/>
      <w:r>
        <w:t xml:space="preserve">eform Team </w:t>
      </w:r>
      <w:proofErr w:type="gramStart"/>
      <w:r>
        <w:t>send</w:t>
      </w:r>
      <w:proofErr w:type="gramEnd"/>
      <w:r>
        <w:t xml:space="preserve"> customers a customer satisfaction survey. </w:t>
      </w:r>
    </w:p>
    <w:p w:rsidR="00A311FC" w:rsidRDefault="00A311FC" w:rsidP="00A311FC"/>
    <w:p w:rsidR="00A311FC" w:rsidRDefault="00A311FC" w:rsidP="00A311FC">
      <w:r>
        <w:t xml:space="preserve">Results from June and December 2015 showed that </w:t>
      </w:r>
    </w:p>
    <w:p w:rsidR="00A311FC" w:rsidRDefault="00A311FC" w:rsidP="00A311FC"/>
    <w:p w:rsidR="00A311FC" w:rsidRDefault="00A311FC" w:rsidP="00A311FC">
      <w:pPr>
        <w:pStyle w:val="ListParagraph"/>
        <w:numPr>
          <w:ilvl w:val="0"/>
          <w:numId w:val="2"/>
        </w:numPr>
        <w:contextualSpacing/>
      </w:pPr>
      <w:r>
        <w:t>85% were very happy and 15% happy with the DHP application process</w:t>
      </w:r>
    </w:p>
    <w:p w:rsidR="00A311FC" w:rsidRDefault="00A311FC" w:rsidP="00A311FC">
      <w:pPr>
        <w:pStyle w:val="ListParagraph"/>
        <w:numPr>
          <w:ilvl w:val="0"/>
          <w:numId w:val="2"/>
        </w:numPr>
        <w:contextualSpacing/>
      </w:pPr>
      <w:r>
        <w:t>75% were very happy and 25% happy with the time taken to assess their applications</w:t>
      </w:r>
    </w:p>
    <w:p w:rsidR="00A311FC" w:rsidRDefault="00A311FC" w:rsidP="00A311FC">
      <w:pPr>
        <w:contextualSpacing/>
      </w:pPr>
    </w:p>
    <w:p w:rsidR="00A311FC" w:rsidRDefault="00A311FC" w:rsidP="00A80C00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teams</w:t>
      </w:r>
    </w:p>
    <w:p w:rsidR="00A311FC" w:rsidRDefault="00A311FC" w:rsidP="00A80C00">
      <w:pPr>
        <w:pStyle w:val="Default"/>
        <w:rPr>
          <w:rFonts w:ascii="Arial" w:hAnsi="Arial" w:cs="Arial"/>
          <w:b/>
        </w:rPr>
      </w:pPr>
    </w:p>
    <w:p w:rsidR="00A311FC" w:rsidRPr="00A311FC" w:rsidRDefault="00A311FC" w:rsidP="00A80C0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The Tenant Involvement Team, the Incomes Team (Rents), the Anti-Social Behaviour Investigation Team (ASBIT) and the Community Response Teams do not gather information specifically on satisfaction performance although they do work with tenants closely to improve the customer experience.</w:t>
      </w:r>
    </w:p>
    <w:sectPr w:rsidR="00A311FC" w:rsidRPr="00A31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84336"/>
    <w:multiLevelType w:val="hybridMultilevel"/>
    <w:tmpl w:val="83E8CB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2E070A6"/>
    <w:multiLevelType w:val="hybridMultilevel"/>
    <w:tmpl w:val="0798A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92"/>
    <w:rsid w:val="00070837"/>
    <w:rsid w:val="000B4310"/>
    <w:rsid w:val="004000D7"/>
    <w:rsid w:val="00504E43"/>
    <w:rsid w:val="00511340"/>
    <w:rsid w:val="00537892"/>
    <w:rsid w:val="00561F7E"/>
    <w:rsid w:val="007075BF"/>
    <w:rsid w:val="007908F4"/>
    <w:rsid w:val="00793D98"/>
    <w:rsid w:val="008A22C6"/>
    <w:rsid w:val="009663CC"/>
    <w:rsid w:val="00984E15"/>
    <w:rsid w:val="00A311FC"/>
    <w:rsid w:val="00A80C00"/>
    <w:rsid w:val="00C07F80"/>
    <w:rsid w:val="00CB69F0"/>
    <w:rsid w:val="00F20EB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92"/>
    <w:pPr>
      <w:ind w:left="720"/>
    </w:pPr>
    <w:rPr>
      <w:rFonts w:eastAsia="Calibri"/>
    </w:rPr>
  </w:style>
  <w:style w:type="table" w:styleId="TableGrid">
    <w:name w:val="Table Grid"/>
    <w:basedOn w:val="TableNormal"/>
    <w:uiPriority w:val="59"/>
    <w:rsid w:val="00966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0C00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92"/>
    <w:pPr>
      <w:ind w:left="720"/>
    </w:pPr>
    <w:rPr>
      <w:rFonts w:eastAsia="Calibri"/>
    </w:rPr>
  </w:style>
  <w:style w:type="table" w:styleId="TableGrid">
    <w:name w:val="Table Grid"/>
    <w:basedOn w:val="TableNormal"/>
    <w:uiPriority w:val="59"/>
    <w:rsid w:val="00966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0C00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B161-A266-4F79-9809-282C69F8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25B07523</Template>
  <TotalTime>149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bgraves</dc:creator>
  <cp:lastModifiedBy>bgraves</cp:lastModifiedBy>
  <cp:revision>5</cp:revision>
  <dcterms:created xsi:type="dcterms:W3CDTF">2016-06-21T07:48:00Z</dcterms:created>
  <dcterms:modified xsi:type="dcterms:W3CDTF">2016-06-26T14:55:00Z</dcterms:modified>
</cp:coreProperties>
</file>